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7" w:type="dxa"/>
        <w:tblInd w:w="-5" w:type="dxa"/>
        <w:tblLook w:val="04A0" w:firstRow="1" w:lastRow="0" w:firstColumn="1" w:lastColumn="0" w:noHBand="0" w:noVBand="1"/>
      </w:tblPr>
      <w:tblGrid>
        <w:gridCol w:w="1560"/>
        <w:gridCol w:w="7087"/>
      </w:tblGrid>
      <w:tr w:rsidR="00DA24CE" w:rsidRPr="00DC32C3" w14:paraId="587D9AAA" w14:textId="77777777" w:rsidTr="005E2A42">
        <w:trPr>
          <w:trHeight w:val="206"/>
        </w:trPr>
        <w:tc>
          <w:tcPr>
            <w:tcW w:w="1560" w:type="dxa"/>
            <w:shd w:val="clear" w:color="auto" w:fill="D9D9D9" w:themeFill="background1" w:themeFillShade="D9"/>
          </w:tcPr>
          <w:p w14:paraId="27682C52" w14:textId="77777777" w:rsidR="00DA24CE" w:rsidRPr="00DC32C3" w:rsidRDefault="00DA24CE" w:rsidP="00D17ACB">
            <w:pPr>
              <w:ind w:left="36" w:firstLine="5"/>
              <w:jc w:val="both"/>
              <w:rPr>
                <w:rFonts w:cstheme="minorHAnsi"/>
                <w:b/>
                <w:bCs/>
              </w:rPr>
            </w:pPr>
            <w:r w:rsidRPr="00DC32C3">
              <w:rPr>
                <w:rFonts w:cstheme="minorHAnsi"/>
                <w:b/>
                <w:bCs/>
              </w:rPr>
              <w:t>Subject</w:t>
            </w:r>
          </w:p>
        </w:tc>
        <w:tc>
          <w:tcPr>
            <w:tcW w:w="7087" w:type="dxa"/>
          </w:tcPr>
          <w:p w14:paraId="627909E6" w14:textId="36AA5C05" w:rsidR="00DA24CE" w:rsidRPr="005E2A42" w:rsidRDefault="00DA24CE" w:rsidP="00D17ACB">
            <w:pPr>
              <w:jc w:val="both"/>
            </w:pPr>
            <w:r w:rsidRPr="005E2A42">
              <w:t xml:space="preserve">Briefing Note: </w:t>
            </w:r>
            <w:r w:rsidR="007C6050" w:rsidRPr="005E2A42">
              <w:t>CoSTAR Funding Application</w:t>
            </w:r>
          </w:p>
        </w:tc>
      </w:tr>
      <w:tr w:rsidR="006442E9" w:rsidRPr="00DC32C3" w14:paraId="0A075EAA" w14:textId="77777777" w:rsidTr="005E2A42">
        <w:trPr>
          <w:trHeight w:val="206"/>
        </w:trPr>
        <w:tc>
          <w:tcPr>
            <w:tcW w:w="1560" w:type="dxa"/>
            <w:shd w:val="clear" w:color="auto" w:fill="D9D9D9" w:themeFill="background1" w:themeFillShade="D9"/>
          </w:tcPr>
          <w:p w14:paraId="341A840A" w14:textId="684D07FF" w:rsidR="006442E9" w:rsidRPr="00DC32C3" w:rsidRDefault="006442E9" w:rsidP="00D17ACB">
            <w:pPr>
              <w:ind w:left="36" w:firstLine="5"/>
              <w:jc w:val="both"/>
              <w:rPr>
                <w:rFonts w:cstheme="minorHAnsi"/>
                <w:b/>
                <w:bCs/>
              </w:rPr>
            </w:pPr>
            <w:r>
              <w:rPr>
                <w:rFonts w:cstheme="minorHAnsi"/>
                <w:b/>
                <w:bCs/>
              </w:rPr>
              <w:t>Version</w:t>
            </w:r>
          </w:p>
        </w:tc>
        <w:tc>
          <w:tcPr>
            <w:tcW w:w="7087" w:type="dxa"/>
          </w:tcPr>
          <w:p w14:paraId="78485590" w14:textId="44295821" w:rsidR="006442E9" w:rsidRPr="005E2A42" w:rsidRDefault="006442E9" w:rsidP="00D17ACB">
            <w:pPr>
              <w:jc w:val="both"/>
            </w:pPr>
            <w:r w:rsidRPr="005E2A42">
              <w:t>2.0</w:t>
            </w:r>
          </w:p>
        </w:tc>
      </w:tr>
      <w:tr w:rsidR="00DA24CE" w:rsidRPr="00751381" w14:paraId="1B5CEF22" w14:textId="77777777" w:rsidTr="005E2A42">
        <w:trPr>
          <w:trHeight w:val="427"/>
        </w:trPr>
        <w:tc>
          <w:tcPr>
            <w:tcW w:w="1560" w:type="dxa"/>
            <w:shd w:val="clear" w:color="auto" w:fill="D9D9D9" w:themeFill="background1" w:themeFillShade="D9"/>
          </w:tcPr>
          <w:p w14:paraId="65A34AFD" w14:textId="77777777" w:rsidR="00DA24CE" w:rsidRPr="00DC32C3" w:rsidRDefault="00DA24CE" w:rsidP="00D17ACB">
            <w:pPr>
              <w:ind w:left="41"/>
              <w:jc w:val="both"/>
              <w:rPr>
                <w:rFonts w:cstheme="minorHAnsi"/>
                <w:b/>
                <w:bCs/>
              </w:rPr>
            </w:pPr>
            <w:r w:rsidRPr="00DC32C3">
              <w:rPr>
                <w:rFonts w:cstheme="minorHAnsi"/>
                <w:b/>
                <w:bCs/>
              </w:rPr>
              <w:t>FAO</w:t>
            </w:r>
          </w:p>
        </w:tc>
        <w:tc>
          <w:tcPr>
            <w:tcW w:w="7087" w:type="dxa"/>
          </w:tcPr>
          <w:p w14:paraId="4480C6F1" w14:textId="2F1A31FE" w:rsidR="00DA24CE" w:rsidRPr="005E2A42" w:rsidRDefault="003E1800" w:rsidP="00DA24CE">
            <w:pPr>
              <w:jc w:val="both"/>
              <w:rPr>
                <w:rFonts w:cstheme="minorHAnsi"/>
              </w:rPr>
            </w:pPr>
            <w:r>
              <w:rPr>
                <w:rFonts w:cstheme="minorHAnsi"/>
              </w:rPr>
              <w:t>One Surrey Growth Board Members</w:t>
            </w:r>
          </w:p>
        </w:tc>
      </w:tr>
      <w:tr w:rsidR="00DA24CE" w:rsidRPr="00F95729" w14:paraId="606090E9" w14:textId="77777777" w:rsidTr="005E2A42">
        <w:trPr>
          <w:trHeight w:val="206"/>
        </w:trPr>
        <w:tc>
          <w:tcPr>
            <w:tcW w:w="1560" w:type="dxa"/>
            <w:shd w:val="clear" w:color="auto" w:fill="D9D9D9" w:themeFill="background1" w:themeFillShade="D9"/>
          </w:tcPr>
          <w:p w14:paraId="574EAE30" w14:textId="77777777" w:rsidR="00DA24CE" w:rsidRPr="00F95729" w:rsidRDefault="00DA24CE" w:rsidP="00D17ACB">
            <w:pPr>
              <w:ind w:left="41"/>
              <w:jc w:val="both"/>
              <w:rPr>
                <w:rFonts w:cstheme="minorHAnsi"/>
                <w:b/>
                <w:bCs/>
              </w:rPr>
            </w:pPr>
            <w:r w:rsidRPr="00F95729">
              <w:rPr>
                <w:rFonts w:cstheme="minorHAnsi"/>
                <w:b/>
                <w:bCs/>
              </w:rPr>
              <w:t>Date</w:t>
            </w:r>
          </w:p>
        </w:tc>
        <w:tc>
          <w:tcPr>
            <w:tcW w:w="7087" w:type="dxa"/>
          </w:tcPr>
          <w:p w14:paraId="007D422E" w14:textId="014A9F6E" w:rsidR="00DA24CE" w:rsidRPr="005E2A42" w:rsidRDefault="00DA24CE" w:rsidP="00D17ACB">
            <w:pPr>
              <w:jc w:val="both"/>
              <w:rPr>
                <w:rFonts w:cstheme="minorHAnsi"/>
              </w:rPr>
            </w:pPr>
            <w:r w:rsidRPr="005E2A42">
              <w:rPr>
                <w:rFonts w:cstheme="minorHAnsi"/>
              </w:rPr>
              <w:t>1</w:t>
            </w:r>
            <w:r w:rsidR="006442E9" w:rsidRPr="005E2A42">
              <w:rPr>
                <w:rFonts w:cstheme="minorHAnsi"/>
              </w:rPr>
              <w:t xml:space="preserve">1 July </w:t>
            </w:r>
            <w:r w:rsidRPr="005E2A42">
              <w:rPr>
                <w:rFonts w:cstheme="minorHAnsi"/>
              </w:rPr>
              <w:t>2023</w:t>
            </w:r>
          </w:p>
        </w:tc>
      </w:tr>
      <w:tr w:rsidR="00DA24CE" w:rsidRPr="00DC32C3" w14:paraId="7F66D3D3" w14:textId="77777777" w:rsidTr="005E2A42">
        <w:trPr>
          <w:trHeight w:val="413"/>
        </w:trPr>
        <w:tc>
          <w:tcPr>
            <w:tcW w:w="1560" w:type="dxa"/>
            <w:shd w:val="clear" w:color="auto" w:fill="D9D9D9" w:themeFill="background1" w:themeFillShade="D9"/>
          </w:tcPr>
          <w:p w14:paraId="73A42F4E" w14:textId="77777777" w:rsidR="00DA24CE" w:rsidRPr="00DC32C3" w:rsidRDefault="00DA24CE" w:rsidP="00D17ACB">
            <w:pPr>
              <w:ind w:left="41"/>
              <w:jc w:val="both"/>
              <w:rPr>
                <w:rFonts w:cstheme="minorHAnsi"/>
                <w:b/>
                <w:bCs/>
              </w:rPr>
            </w:pPr>
            <w:r w:rsidRPr="00DC32C3">
              <w:rPr>
                <w:rFonts w:cstheme="minorHAnsi"/>
                <w:b/>
                <w:bCs/>
              </w:rPr>
              <w:t>Contact</w:t>
            </w:r>
          </w:p>
        </w:tc>
        <w:tc>
          <w:tcPr>
            <w:tcW w:w="7087" w:type="dxa"/>
          </w:tcPr>
          <w:p w14:paraId="7CB7C7E1" w14:textId="3C7E8C49" w:rsidR="00DA24CE" w:rsidRPr="005E2A42" w:rsidRDefault="00DA24CE" w:rsidP="00D17ACB">
            <w:pPr>
              <w:rPr>
                <w:rFonts w:cstheme="minorHAnsi"/>
              </w:rPr>
            </w:pPr>
            <w:r w:rsidRPr="005E2A42">
              <w:rPr>
                <w:rFonts w:cstheme="minorHAnsi"/>
              </w:rPr>
              <w:t>Daniel Murray</w:t>
            </w:r>
            <w:r w:rsidR="00DA3378" w:rsidRPr="005E2A42">
              <w:rPr>
                <w:rFonts w:cstheme="minorHAnsi"/>
              </w:rPr>
              <w:t xml:space="preserve">, </w:t>
            </w:r>
            <w:r w:rsidRPr="005E2A42">
              <w:rPr>
                <w:rFonts w:cstheme="minorHAnsi"/>
              </w:rPr>
              <w:t>Head of Economy and Growth, Surrey County Council</w:t>
            </w:r>
          </w:p>
          <w:p w14:paraId="317C0F61" w14:textId="50334FE2" w:rsidR="00DA24CE" w:rsidRPr="005E2A42" w:rsidRDefault="00DA24CE" w:rsidP="00D17ACB">
            <w:pPr>
              <w:rPr>
                <w:rFonts w:cstheme="minorHAnsi"/>
              </w:rPr>
            </w:pPr>
            <w:r w:rsidRPr="005E2A42">
              <w:rPr>
                <w:rFonts w:cstheme="minorHAnsi"/>
              </w:rPr>
              <w:t xml:space="preserve">07787 192 032 / daniel.murray@surreycc.gov.uk </w:t>
            </w:r>
          </w:p>
        </w:tc>
      </w:tr>
    </w:tbl>
    <w:p w14:paraId="36223F0B" w14:textId="77777777" w:rsidR="0001545D" w:rsidRDefault="0001545D" w:rsidP="006F203A">
      <w:pPr>
        <w:pStyle w:val="NoSpacing"/>
        <w:rPr>
          <w:rStyle w:val="ui-provider"/>
        </w:rPr>
      </w:pPr>
    </w:p>
    <w:p w14:paraId="183F650E" w14:textId="14FB02E6" w:rsidR="00DA24CE" w:rsidRPr="00BA5234" w:rsidRDefault="00DA24CE">
      <w:pPr>
        <w:rPr>
          <w:rStyle w:val="ui-provider"/>
          <w:u w:val="single"/>
        </w:rPr>
      </w:pPr>
      <w:r w:rsidRPr="00BA5234">
        <w:rPr>
          <w:rStyle w:val="ui-provider"/>
          <w:u w:val="single"/>
        </w:rPr>
        <w:t>Introduction</w:t>
      </w:r>
    </w:p>
    <w:p w14:paraId="20203212" w14:textId="5DD32EB6" w:rsidR="00BA5234" w:rsidRPr="00BA5234" w:rsidRDefault="00DA24CE" w:rsidP="00BA5234">
      <w:r w:rsidRPr="006F203A">
        <w:rPr>
          <w:rStyle w:val="ui-provider"/>
        </w:rPr>
        <w:t xml:space="preserve">This briefing note </w:t>
      </w:r>
      <w:r w:rsidR="006F203A">
        <w:rPr>
          <w:rStyle w:val="ui-provider"/>
        </w:rPr>
        <w:t xml:space="preserve">summarises </w:t>
      </w:r>
      <w:r w:rsidR="00BA5234" w:rsidRPr="006F203A">
        <w:rPr>
          <w:rStyle w:val="ui-provider"/>
        </w:rPr>
        <w:t xml:space="preserve">Surrey County Council’s (SCC) involvement in a </w:t>
      </w:r>
      <w:r w:rsidR="006F203A">
        <w:rPr>
          <w:rStyle w:val="ui-provider"/>
        </w:rPr>
        <w:t xml:space="preserve">successful £51m </w:t>
      </w:r>
      <w:r w:rsidR="00BA5234" w:rsidRPr="006F203A">
        <w:rPr>
          <w:rStyle w:val="ui-provider"/>
        </w:rPr>
        <w:t>national CoSTAR (</w:t>
      </w:r>
      <w:r w:rsidR="00BA5234" w:rsidRPr="006F203A">
        <w:t xml:space="preserve">Convergent Screen Technologies and performance in Realtime) </w:t>
      </w:r>
      <w:r w:rsidR="00BA5234" w:rsidRPr="00BA5234">
        <w:t>Arts and Humanities Research Council (AHRC)</w:t>
      </w:r>
      <w:r w:rsidR="006F203A">
        <w:t xml:space="preserve"> </w:t>
      </w:r>
      <w:r w:rsidR="00BA5234" w:rsidRPr="006F203A">
        <w:t>funding application.</w:t>
      </w:r>
    </w:p>
    <w:p w14:paraId="7DCC5988" w14:textId="37020240" w:rsidR="00DA24CE" w:rsidRDefault="00A504B4">
      <w:pPr>
        <w:rPr>
          <w:rStyle w:val="ui-provider"/>
          <w:u w:val="single"/>
        </w:rPr>
      </w:pPr>
      <w:r>
        <w:rPr>
          <w:rStyle w:val="ui-provider"/>
          <w:u w:val="single"/>
        </w:rPr>
        <w:t>What is CoSTAR?</w:t>
      </w:r>
    </w:p>
    <w:p w14:paraId="63964CAD" w14:textId="221246BC" w:rsidR="00BA5234" w:rsidRPr="006F203A" w:rsidRDefault="00BA5234" w:rsidP="00BA5234">
      <w:pPr>
        <w:rPr>
          <w:rStyle w:val="ui-provider"/>
        </w:rPr>
      </w:pPr>
      <w:r w:rsidRPr="006F203A">
        <w:rPr>
          <w:rStyle w:val="ui-provider"/>
        </w:rPr>
        <w:t xml:space="preserve">The facilities delivered through CoSTAR will deliver </w:t>
      </w:r>
      <w:r w:rsidR="006A1E07">
        <w:rPr>
          <w:rStyle w:val="ui-provider"/>
        </w:rPr>
        <w:t xml:space="preserve">the </w:t>
      </w:r>
      <w:r w:rsidRPr="006F203A">
        <w:rPr>
          <w:rStyle w:val="ui-provider"/>
        </w:rPr>
        <w:t xml:space="preserve">long-term </w:t>
      </w:r>
      <w:r w:rsidRPr="00DA24CE">
        <w:rPr>
          <w:rStyle w:val="ui-provider"/>
        </w:rPr>
        <w:t xml:space="preserve">Research, Development, and Innovation (RD&amp;I) </w:t>
      </w:r>
      <w:r>
        <w:rPr>
          <w:rStyle w:val="ui-provider"/>
        </w:rPr>
        <w:t>i</w:t>
      </w:r>
      <w:r w:rsidRPr="006F203A">
        <w:rPr>
          <w:rStyle w:val="ui-provider"/>
        </w:rPr>
        <w:t>nfrastructure to</w:t>
      </w:r>
      <w:r w:rsidRPr="00DA24CE">
        <w:rPr>
          <w:rStyle w:val="ui-provider"/>
        </w:rPr>
        <w:t xml:space="preserve"> establish facilities, resources, and expertise</w:t>
      </w:r>
      <w:r w:rsidRPr="006F203A">
        <w:rPr>
          <w:rStyle w:val="ui-provider"/>
        </w:rPr>
        <w:t xml:space="preserve"> </w:t>
      </w:r>
      <w:r w:rsidR="00DA24CE" w:rsidRPr="00DA24CE">
        <w:rPr>
          <w:rStyle w:val="ui-provider"/>
        </w:rPr>
        <w:t>to transform the</w:t>
      </w:r>
      <w:r w:rsidRPr="006F203A">
        <w:rPr>
          <w:rStyle w:val="ui-provider"/>
        </w:rPr>
        <w:t xml:space="preserve"> UK’s screen and performance sector.</w:t>
      </w:r>
      <w:r w:rsidR="00DA3378">
        <w:rPr>
          <w:rStyle w:val="ui-provider"/>
        </w:rPr>
        <w:t xml:space="preserve">  </w:t>
      </w:r>
      <w:r w:rsidRPr="006F203A">
        <w:rPr>
          <w:rStyle w:val="ui-provider"/>
        </w:rPr>
        <w:t>CoSTAR will support the UK screen and performance sector competitiveness by:</w:t>
      </w:r>
    </w:p>
    <w:p w14:paraId="180871D3" w14:textId="31B9C471" w:rsidR="00BA5234" w:rsidRPr="006F203A" w:rsidRDefault="00BA5234" w:rsidP="00BA5234">
      <w:pPr>
        <w:rPr>
          <w:rStyle w:val="ui-provider"/>
          <w:i/>
          <w:iCs/>
        </w:rPr>
      </w:pPr>
      <w:r w:rsidRPr="006F203A">
        <w:rPr>
          <w:rStyle w:val="ui-provider"/>
          <w:i/>
          <w:iCs/>
        </w:rPr>
        <w:t>‘…equipping UK firms, assets and institutions with the capabilities, supporting environment and market insight necessary to play a leading role in current and future waves of global media and technology convergence.’</w:t>
      </w:r>
    </w:p>
    <w:p w14:paraId="53CDC2DC" w14:textId="77777777" w:rsidR="006F203A" w:rsidRPr="006F203A" w:rsidRDefault="006F203A" w:rsidP="006F203A">
      <w:pPr>
        <w:rPr>
          <w:rStyle w:val="ui-provider"/>
        </w:rPr>
      </w:pPr>
      <w:r w:rsidRPr="006F203A">
        <w:rPr>
          <w:rStyle w:val="ui-provider"/>
        </w:rPr>
        <w:t>CoSTAR has the following sub-objectives:</w:t>
      </w:r>
    </w:p>
    <w:p w14:paraId="7A2586F9" w14:textId="53EA04FA" w:rsidR="00BA5234" w:rsidRPr="006F203A" w:rsidRDefault="00BA5234" w:rsidP="006F203A">
      <w:pPr>
        <w:pStyle w:val="ListParagraph"/>
        <w:numPr>
          <w:ilvl w:val="0"/>
          <w:numId w:val="5"/>
        </w:numPr>
        <w:rPr>
          <w:rStyle w:val="ui-provider"/>
        </w:rPr>
      </w:pPr>
      <w:r w:rsidRPr="006F203A">
        <w:rPr>
          <w:rStyle w:val="ui-provider"/>
        </w:rPr>
        <w:t>To enable the technological participation of UK firms, assets, and institutions in current and future waves of global media and technology convergence</w:t>
      </w:r>
    </w:p>
    <w:p w14:paraId="0CB7F200" w14:textId="77777777" w:rsidR="00BA5234" w:rsidRPr="006F203A" w:rsidRDefault="00BA5234" w:rsidP="006F203A">
      <w:pPr>
        <w:pStyle w:val="ListParagraph"/>
        <w:numPr>
          <w:ilvl w:val="0"/>
          <w:numId w:val="5"/>
        </w:numPr>
        <w:rPr>
          <w:rStyle w:val="ui-provider"/>
        </w:rPr>
      </w:pPr>
      <w:r w:rsidRPr="006F203A">
        <w:rPr>
          <w:rStyle w:val="ui-provider"/>
        </w:rPr>
        <w:t>To build, strengthen and deepen the UK creative technology ecosystem, maximise arising economic opportunities and support the commercialisation of creative industry technology IP</w:t>
      </w:r>
    </w:p>
    <w:p w14:paraId="07CBA113" w14:textId="77777777" w:rsidR="00BA5234" w:rsidRPr="006F203A" w:rsidRDefault="00BA5234" w:rsidP="006F203A">
      <w:pPr>
        <w:pStyle w:val="ListParagraph"/>
        <w:numPr>
          <w:ilvl w:val="0"/>
          <w:numId w:val="5"/>
        </w:numPr>
        <w:rPr>
          <w:rStyle w:val="ui-provider"/>
        </w:rPr>
      </w:pPr>
      <w:r w:rsidRPr="006F203A">
        <w:rPr>
          <w:rStyle w:val="ui-provider"/>
        </w:rPr>
        <w:t>To lead and coordinate the technological development of the UK screen and performance sectors</w:t>
      </w:r>
    </w:p>
    <w:p w14:paraId="1470BFA9" w14:textId="24F002CA" w:rsidR="00DA24CE" w:rsidRPr="00DA24CE" w:rsidRDefault="00DA24CE" w:rsidP="006F203A">
      <w:pPr>
        <w:rPr>
          <w:rStyle w:val="ui-provider"/>
        </w:rPr>
      </w:pPr>
      <w:r w:rsidRPr="00DA24CE">
        <w:rPr>
          <w:rStyle w:val="ui-provider"/>
        </w:rPr>
        <w:t xml:space="preserve">The initial call for proposals </w:t>
      </w:r>
      <w:r w:rsidR="00BA5234">
        <w:rPr>
          <w:rStyle w:val="ui-provider"/>
        </w:rPr>
        <w:t xml:space="preserve">(published in </w:t>
      </w:r>
      <w:r w:rsidR="006F203A">
        <w:rPr>
          <w:rStyle w:val="ui-provider"/>
        </w:rPr>
        <w:t>October 2022)</w:t>
      </w:r>
      <w:r w:rsidR="00BA5234">
        <w:rPr>
          <w:rStyle w:val="ui-provider"/>
        </w:rPr>
        <w:t xml:space="preserve"> </w:t>
      </w:r>
      <w:r w:rsidRPr="00DA24CE">
        <w:rPr>
          <w:rStyle w:val="ui-provider"/>
        </w:rPr>
        <w:t>covered two Lots:</w:t>
      </w:r>
    </w:p>
    <w:p w14:paraId="4475842C" w14:textId="0C1AC15D" w:rsidR="00DA24CE" w:rsidRPr="00DA24CE" w:rsidRDefault="00DA24CE" w:rsidP="006F203A">
      <w:pPr>
        <w:pStyle w:val="ListParagraph"/>
        <w:numPr>
          <w:ilvl w:val="0"/>
          <w:numId w:val="5"/>
        </w:numPr>
        <w:rPr>
          <w:rStyle w:val="ui-provider"/>
        </w:rPr>
      </w:pPr>
      <w:r w:rsidRPr="00DA24CE">
        <w:rPr>
          <w:rStyle w:val="ui-provider"/>
        </w:rPr>
        <w:t xml:space="preserve">Lot 1: £51.1m over 6 years, to design, build, develop and test the CoSTAR national lab (and associated facilities and programme) to drive innovation and creativity in the UK’s screen and performance industries.  </w:t>
      </w:r>
    </w:p>
    <w:p w14:paraId="6B5C544A" w14:textId="278BC67D" w:rsidR="00DA24CE" w:rsidRPr="00DA24CE" w:rsidRDefault="00DA24CE" w:rsidP="006F203A">
      <w:pPr>
        <w:pStyle w:val="ListParagraph"/>
        <w:numPr>
          <w:ilvl w:val="0"/>
          <w:numId w:val="5"/>
        </w:numPr>
        <w:rPr>
          <w:rStyle w:val="ui-provider"/>
        </w:rPr>
      </w:pPr>
      <w:r w:rsidRPr="00DA24CE">
        <w:rPr>
          <w:rStyle w:val="ui-provider"/>
        </w:rPr>
        <w:t>Lot 2: £12.6m over 6 years for the delivery of (up to) 3 CoSTAR network labs</w:t>
      </w:r>
    </w:p>
    <w:p w14:paraId="69ACDFCD" w14:textId="501A7F96" w:rsidR="00DA24CE" w:rsidRDefault="00DA24CE" w:rsidP="00DA24CE">
      <w:pPr>
        <w:rPr>
          <w:rStyle w:val="ui-provider"/>
        </w:rPr>
      </w:pPr>
      <w:r w:rsidRPr="00DA24CE">
        <w:rPr>
          <w:rStyle w:val="ui-provider"/>
        </w:rPr>
        <w:t>The Network Labs will focus on the current challenges faced by industry while the National Lab will support research on future waves of technology.</w:t>
      </w:r>
    </w:p>
    <w:p w14:paraId="3262FE9A" w14:textId="5887C363" w:rsidR="00DA24CE" w:rsidRPr="00DA24CE" w:rsidRDefault="006F203A">
      <w:pPr>
        <w:rPr>
          <w:rStyle w:val="ui-provider"/>
          <w:u w:val="single"/>
        </w:rPr>
      </w:pPr>
      <w:r>
        <w:rPr>
          <w:rStyle w:val="ui-provider"/>
          <w:u w:val="single"/>
        </w:rPr>
        <w:t>The application</w:t>
      </w:r>
    </w:p>
    <w:p w14:paraId="6FBA44D3" w14:textId="5ADDE6C5" w:rsidR="00DA24CE" w:rsidRDefault="00DA24CE">
      <w:pPr>
        <w:rPr>
          <w:rStyle w:val="ui-provider"/>
        </w:rPr>
      </w:pPr>
      <w:r w:rsidRPr="00DA24CE">
        <w:rPr>
          <w:rStyle w:val="ui-provider"/>
        </w:rPr>
        <w:t xml:space="preserve">In February 2023, a CoSTAR national lab grant application was submitted to AHRC by StoryFutures at Royal Holloway, University of London (RHUL) on behalf of </w:t>
      </w:r>
      <w:r w:rsidR="006A1E07">
        <w:rPr>
          <w:rStyle w:val="ui-provider"/>
        </w:rPr>
        <w:t>a</w:t>
      </w:r>
      <w:r w:rsidRPr="00DA24CE">
        <w:rPr>
          <w:rStyle w:val="ui-provider"/>
        </w:rPr>
        <w:t xml:space="preserve"> wider bid team.  The CoSTAR application focused on establishing a CoSTAR national lab at Pinewood Studios (</w:t>
      </w:r>
      <w:proofErr w:type="spellStart"/>
      <w:r w:rsidRPr="00DA24CE">
        <w:rPr>
          <w:rStyle w:val="ui-provider"/>
        </w:rPr>
        <w:t>Iver</w:t>
      </w:r>
      <w:proofErr w:type="spellEnd"/>
      <w:r w:rsidRPr="00DA24CE">
        <w:rPr>
          <w:rStyle w:val="ui-provider"/>
        </w:rPr>
        <w:t xml:space="preserve">, </w:t>
      </w:r>
      <w:r w:rsidR="00A504B4">
        <w:rPr>
          <w:rStyle w:val="ui-provider"/>
        </w:rPr>
        <w:t>B</w:t>
      </w:r>
      <w:r w:rsidRPr="00DA24CE">
        <w:rPr>
          <w:rStyle w:val="ui-provider"/>
        </w:rPr>
        <w:t xml:space="preserve">uckinghamshire), and associated facilities and programme to drive innovation and creativity in the UK’s screen and performance industries.  </w:t>
      </w:r>
    </w:p>
    <w:p w14:paraId="680D21AE" w14:textId="77777777" w:rsidR="00DA3378" w:rsidRDefault="00DA3378">
      <w:pPr>
        <w:rPr>
          <w:rStyle w:val="ui-provider"/>
          <w:u w:val="single"/>
        </w:rPr>
      </w:pPr>
    </w:p>
    <w:p w14:paraId="6CAC0796" w14:textId="5AD206F9" w:rsidR="00DA24CE" w:rsidRPr="00DA24CE" w:rsidRDefault="00DA24CE">
      <w:pPr>
        <w:rPr>
          <w:rStyle w:val="ui-provider"/>
          <w:u w:val="single"/>
        </w:rPr>
      </w:pPr>
      <w:r w:rsidRPr="00DA24CE">
        <w:rPr>
          <w:rStyle w:val="ui-provider"/>
          <w:u w:val="single"/>
        </w:rPr>
        <w:lastRenderedPageBreak/>
        <w:t>What is SCC’s role?</w:t>
      </w:r>
    </w:p>
    <w:p w14:paraId="5343627A" w14:textId="2BF52514" w:rsidR="00DA24CE" w:rsidRDefault="00DA24CE" w:rsidP="006F203A">
      <w:pPr>
        <w:rPr>
          <w:rStyle w:val="ui-provider"/>
        </w:rPr>
      </w:pPr>
      <w:r w:rsidRPr="006F203A">
        <w:rPr>
          <w:rStyle w:val="ui-provider"/>
        </w:rPr>
        <w:t>SCC’s contribution to the bid included a capital commitment of £3m</w:t>
      </w:r>
      <w:r w:rsidR="00DA3378">
        <w:rPr>
          <w:rStyle w:val="ui-provider"/>
        </w:rPr>
        <w:t>, subject to Cabinet approval,</w:t>
      </w:r>
      <w:r w:rsidRPr="006F203A">
        <w:rPr>
          <w:rStyle w:val="ui-provider"/>
        </w:rPr>
        <w:t xml:space="preserve"> to fund the establishment of a </w:t>
      </w:r>
      <w:r w:rsidR="00F44B29">
        <w:rPr>
          <w:rStyle w:val="ui-provider"/>
        </w:rPr>
        <w:t xml:space="preserve">900 sqm </w:t>
      </w:r>
      <w:r w:rsidRPr="006F203A">
        <w:rPr>
          <w:rStyle w:val="ui-provider"/>
          <w:b/>
          <w:bCs/>
        </w:rPr>
        <w:t>CoSTAR satellite studio and incubator space on the RHUL campus in Surrey.</w:t>
      </w:r>
      <w:r w:rsidRPr="006F203A">
        <w:rPr>
          <w:rStyle w:val="ui-provider"/>
        </w:rPr>
        <w:t xml:space="preserve">  This facility will be used to support the delivery of a CoSTAR programme of incubation and studio facilities, R&amp;D and knowledge exchange and IP/commercialisation support to Surrey-based creative businesses operating from both facilities.  It will also provide a gateway to the National Lab and wider CoSTAR networked infrastructure for Surrey businesses. </w:t>
      </w:r>
    </w:p>
    <w:p w14:paraId="0EB65DDB" w14:textId="77777777" w:rsidR="00DA3378" w:rsidRPr="00DA24CE" w:rsidRDefault="00DA3378" w:rsidP="00DA3378">
      <w:pPr>
        <w:rPr>
          <w:rStyle w:val="ui-provider"/>
          <w:u w:val="single"/>
        </w:rPr>
      </w:pPr>
      <w:r w:rsidRPr="00DA24CE">
        <w:rPr>
          <w:rStyle w:val="ui-provider"/>
          <w:u w:val="single"/>
        </w:rPr>
        <w:t>Who are the other partners involved?</w:t>
      </w:r>
    </w:p>
    <w:p w14:paraId="053B669D" w14:textId="77777777" w:rsidR="00DA3378" w:rsidRDefault="00DA3378" w:rsidP="00DA3378">
      <w:pPr>
        <w:rPr>
          <w:rStyle w:val="ui-provider"/>
        </w:rPr>
      </w:pPr>
      <w:r w:rsidRPr="006F203A">
        <w:rPr>
          <w:rStyle w:val="ui-provider"/>
        </w:rPr>
        <w:t>SCC, with Buckinghamshire Council, were core Local Authority civic partners alongside the University of Surrey and University of Abertay (Higher Education Institutes (HEI) partners), National Film and Television School (Training and Production Partner), Pinewood Group Limited (Studio Partner), and BT and Disguise (Tech Partners). Full detail of the CoSTAR partner bid team and roles and responsibilities are set out in Appendix I.</w:t>
      </w:r>
    </w:p>
    <w:p w14:paraId="03BA7A7D" w14:textId="64AF6799" w:rsidR="00DA24CE" w:rsidRPr="00A504B4" w:rsidRDefault="00DA24CE">
      <w:pPr>
        <w:rPr>
          <w:rStyle w:val="ui-provider"/>
          <w:u w:val="single"/>
        </w:rPr>
      </w:pPr>
      <w:r w:rsidRPr="006F203A">
        <w:rPr>
          <w:rStyle w:val="ui-provider"/>
          <w:u w:val="single"/>
        </w:rPr>
        <w:t>What is the rationale for our involvement?</w:t>
      </w:r>
    </w:p>
    <w:p w14:paraId="12C5B01C" w14:textId="4C14B2FB" w:rsidR="00A504B4" w:rsidRPr="00A504B4" w:rsidRDefault="00A504B4" w:rsidP="006F203A">
      <w:pPr>
        <w:rPr>
          <w:rStyle w:val="ui-provider"/>
        </w:rPr>
      </w:pPr>
      <w:r w:rsidRPr="00A504B4">
        <w:rPr>
          <w:rStyle w:val="ui-provider"/>
        </w:rPr>
        <w:t>The diagram below summarises</w:t>
      </w:r>
      <w:r w:rsidR="00235D43">
        <w:rPr>
          <w:rStyle w:val="ui-provider"/>
        </w:rPr>
        <w:t xml:space="preserve"> the </w:t>
      </w:r>
      <w:r w:rsidRPr="00A504B4">
        <w:rPr>
          <w:rStyle w:val="ui-provider"/>
        </w:rPr>
        <w:t xml:space="preserve">key drivers behind SCC’s involvement in CoSTAR and the creation of a CoSTAR satellite studio and incubator space on the RHUL campus in Surrey.  </w:t>
      </w:r>
    </w:p>
    <w:p w14:paraId="6796F9E4" w14:textId="77777777" w:rsidR="00C75944" w:rsidRDefault="00C75944" w:rsidP="00C75944">
      <w:pPr>
        <w:pStyle w:val="NoSpacing"/>
        <w:rPr>
          <w:rFonts w:ascii="Avenir Next LT Pro" w:hAnsi="Avenir Next LT Pro"/>
          <w:sz w:val="24"/>
          <w:szCs w:val="24"/>
        </w:rPr>
      </w:pPr>
      <w:r w:rsidRPr="000B65BA">
        <w:rPr>
          <w:noProof/>
        </w:rPr>
        <w:drawing>
          <wp:inline distT="0" distB="0" distL="0" distR="0" wp14:anchorId="0B929FDF" wp14:editId="394A2272">
            <wp:extent cx="6429375" cy="3600764"/>
            <wp:effectExtent l="0" t="0" r="0" b="0"/>
            <wp:docPr id="3" name="Picture 3" descr="A diagram of key driv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key drivers&#10;&#10;Description automatically generated with low confidence"/>
                    <pic:cNvPicPr/>
                  </pic:nvPicPr>
                  <pic:blipFill>
                    <a:blip r:embed="rId10"/>
                    <a:stretch>
                      <a:fillRect/>
                    </a:stretch>
                  </pic:blipFill>
                  <pic:spPr>
                    <a:xfrm>
                      <a:off x="0" y="0"/>
                      <a:ext cx="6442341" cy="3608026"/>
                    </a:xfrm>
                    <a:prstGeom prst="rect">
                      <a:avLst/>
                    </a:prstGeom>
                  </pic:spPr>
                </pic:pic>
              </a:graphicData>
            </a:graphic>
          </wp:inline>
        </w:drawing>
      </w:r>
    </w:p>
    <w:p w14:paraId="25FD9039" w14:textId="77777777" w:rsidR="00C75944" w:rsidRDefault="00C75944" w:rsidP="00C75944">
      <w:pPr>
        <w:pStyle w:val="NoSpacing"/>
        <w:rPr>
          <w:sz w:val="18"/>
          <w:szCs w:val="18"/>
        </w:rPr>
      </w:pPr>
      <w:r w:rsidRPr="000B65BA">
        <w:rPr>
          <w:sz w:val="18"/>
          <w:szCs w:val="18"/>
        </w:rPr>
        <w:t>Source: Surrey County Council, 2023</w:t>
      </w:r>
    </w:p>
    <w:p w14:paraId="6133A18C" w14:textId="77777777" w:rsidR="00A504B4" w:rsidRDefault="00A504B4" w:rsidP="00A504B4">
      <w:pPr>
        <w:pStyle w:val="NoSpacing"/>
        <w:rPr>
          <w:rStyle w:val="ui-provider"/>
        </w:rPr>
      </w:pPr>
    </w:p>
    <w:p w14:paraId="0248EEA6" w14:textId="4A78CBC1" w:rsidR="00A504B4" w:rsidRPr="006F203A" w:rsidRDefault="00A504B4" w:rsidP="00A504B4">
      <w:pPr>
        <w:rPr>
          <w:rStyle w:val="ui-provider"/>
        </w:rPr>
      </w:pPr>
      <w:r>
        <w:rPr>
          <w:rStyle w:val="ui-provider"/>
        </w:rPr>
        <w:t>P</w:t>
      </w:r>
      <w:r w:rsidRPr="006F203A">
        <w:rPr>
          <w:rStyle w:val="ui-provider"/>
        </w:rPr>
        <w:t xml:space="preserve">rimary drivers include: the need to build on a locally based national asset (StoryFutures) to ensure Surrey’s creative businesses </w:t>
      </w:r>
      <w:r w:rsidR="00235D43">
        <w:rPr>
          <w:rStyle w:val="ui-provider"/>
        </w:rPr>
        <w:t xml:space="preserve">benefit from CoSTAR’s R&amp;D support and </w:t>
      </w:r>
      <w:r w:rsidRPr="006F203A">
        <w:rPr>
          <w:rStyle w:val="ui-provider"/>
        </w:rPr>
        <w:t>gain access to CoSTAR’s national infrastructure</w:t>
      </w:r>
      <w:r w:rsidR="00235D43">
        <w:rPr>
          <w:rStyle w:val="ui-provider"/>
        </w:rPr>
        <w:t xml:space="preserve">; </w:t>
      </w:r>
      <w:r w:rsidRPr="006F203A">
        <w:rPr>
          <w:rStyle w:val="ui-provider"/>
        </w:rPr>
        <w:t>strong strategic alignment to national and regional policy, in particular Surrey’s Community Vision, Priority Objectives and Economic Growth plan</w:t>
      </w:r>
      <w:r w:rsidR="00235D43">
        <w:rPr>
          <w:rStyle w:val="ui-provider"/>
        </w:rPr>
        <w:t>; and CoSTAR’s socio-economic outcomes for Surrey’s creative industries businesses.</w:t>
      </w:r>
    </w:p>
    <w:p w14:paraId="772FDD47" w14:textId="77777777" w:rsidR="00A504B4" w:rsidRDefault="00A504B4">
      <w:pPr>
        <w:rPr>
          <w:rStyle w:val="ui-provider"/>
        </w:rPr>
      </w:pPr>
    </w:p>
    <w:p w14:paraId="4359E30F" w14:textId="30C7F222" w:rsidR="00A504B4" w:rsidRDefault="006F203A" w:rsidP="00A504B4">
      <w:pPr>
        <w:rPr>
          <w:rStyle w:val="ui-provider"/>
          <w:u w:val="single"/>
        </w:rPr>
      </w:pPr>
      <w:r w:rsidRPr="00CC682A">
        <w:rPr>
          <w:rStyle w:val="ui-provider"/>
          <w:u w:val="single"/>
        </w:rPr>
        <w:lastRenderedPageBreak/>
        <w:t xml:space="preserve">What are the benefits of </w:t>
      </w:r>
      <w:r w:rsidR="00D97145">
        <w:rPr>
          <w:rStyle w:val="ui-provider"/>
          <w:u w:val="single"/>
        </w:rPr>
        <w:t xml:space="preserve">SCC’s </w:t>
      </w:r>
      <w:r w:rsidRPr="00CC682A">
        <w:rPr>
          <w:rStyle w:val="ui-provider"/>
          <w:u w:val="single"/>
        </w:rPr>
        <w:t>involvement?</w:t>
      </w:r>
    </w:p>
    <w:p w14:paraId="6A5FA766" w14:textId="544EBA38" w:rsidR="00235D43" w:rsidRDefault="00235D43" w:rsidP="00A504B4">
      <w:pPr>
        <w:rPr>
          <w:rStyle w:val="ui-provider"/>
        </w:rPr>
      </w:pPr>
      <w:r>
        <w:rPr>
          <w:rStyle w:val="ui-provider"/>
        </w:rPr>
        <w:t xml:space="preserve">The main beneficiaries of the CoSTAR Satellite Studio and Incubator space will be Surrey-based creative industry businesses involved in the </w:t>
      </w:r>
      <w:r w:rsidRPr="00235D43">
        <w:rPr>
          <w:rStyle w:val="ui-provider"/>
        </w:rPr>
        <w:t>creation of</w:t>
      </w:r>
      <w:r>
        <w:rPr>
          <w:rStyle w:val="ui-provider"/>
        </w:rPr>
        <w:t xml:space="preserve"> </w:t>
      </w:r>
      <w:r w:rsidRPr="00235D43">
        <w:rPr>
          <w:rStyle w:val="ui-provider"/>
        </w:rPr>
        <w:t>products, services or experiences that can be enhanced through immersive technologies</w:t>
      </w:r>
      <w:r>
        <w:rPr>
          <w:rStyle w:val="ui-provider"/>
        </w:rPr>
        <w:t xml:space="preserve"> primarily </w:t>
      </w:r>
      <w:r w:rsidRPr="00235D43">
        <w:rPr>
          <w:rStyle w:val="ui-provider"/>
        </w:rPr>
        <w:t>Augmented and virtual reality (</w:t>
      </w:r>
      <w:r>
        <w:rPr>
          <w:rStyle w:val="ui-provider"/>
        </w:rPr>
        <w:t xml:space="preserve">AR &amp; </w:t>
      </w:r>
      <w:r w:rsidRPr="00235D43">
        <w:rPr>
          <w:rStyle w:val="ui-provider"/>
        </w:rPr>
        <w:t>VR)</w:t>
      </w:r>
      <w:r>
        <w:rPr>
          <w:rStyle w:val="ui-provider"/>
        </w:rPr>
        <w:t>), R&amp;D and commercialisation support.</w:t>
      </w:r>
    </w:p>
    <w:p w14:paraId="6AF182D6" w14:textId="5B160DEF" w:rsidR="00A504B4" w:rsidRPr="00A504B4" w:rsidRDefault="00A504B4" w:rsidP="00A504B4">
      <w:pPr>
        <w:rPr>
          <w:rStyle w:val="ui-provider"/>
        </w:rPr>
      </w:pPr>
      <w:r w:rsidRPr="00A504B4">
        <w:rPr>
          <w:rStyle w:val="ui-provider"/>
        </w:rPr>
        <w:t>The CoSTAR Satellite Studio and Incubator Space is projected to deliver significant socio-economic outcome</w:t>
      </w:r>
      <w:r w:rsidR="00235D43">
        <w:rPr>
          <w:rStyle w:val="ui-provider"/>
        </w:rPr>
        <w:t>s</w:t>
      </w:r>
      <w:r w:rsidRPr="00A504B4">
        <w:rPr>
          <w:rStyle w:val="ui-provider"/>
        </w:rPr>
        <w:t xml:space="preserve"> for Surrey.  These include: </w:t>
      </w:r>
      <w:r w:rsidR="007B735C">
        <w:rPr>
          <w:rStyle w:val="ui-provider"/>
        </w:rPr>
        <w:t>250-</w:t>
      </w:r>
      <w:r w:rsidRPr="00A504B4">
        <w:rPr>
          <w:rStyle w:val="ui-provider"/>
        </w:rPr>
        <w:t>350 jobs created over 6 years with a 10 year NPV net GVA contribution of c</w:t>
      </w:r>
      <w:r w:rsidR="007B735C">
        <w:rPr>
          <w:rStyle w:val="ui-provider"/>
        </w:rPr>
        <w:t>£25-</w:t>
      </w:r>
      <w:r w:rsidRPr="00A504B4">
        <w:rPr>
          <w:rStyle w:val="ui-provider"/>
        </w:rPr>
        <w:t xml:space="preserve">£35m to Surrey’s economy; 200 businesses assisted including 10 new start-ups; 10 relocating businesses and 180 businesses supported through the CoSTAR R&amp;D, Knowledge Exchange, and Commercialisation business support programme.  </w:t>
      </w:r>
    </w:p>
    <w:p w14:paraId="48E635B3" w14:textId="3FA05FE1" w:rsidR="00DA24CE" w:rsidRDefault="00DA24CE">
      <w:pPr>
        <w:rPr>
          <w:rStyle w:val="ui-provider"/>
          <w:u w:val="single"/>
        </w:rPr>
      </w:pPr>
      <w:r w:rsidRPr="00A504B4">
        <w:rPr>
          <w:rStyle w:val="ui-provider"/>
          <w:u w:val="single"/>
        </w:rPr>
        <w:t>What are the timescales?</w:t>
      </w:r>
    </w:p>
    <w:p w14:paraId="5958BC51" w14:textId="0F3A303C" w:rsidR="00A504B4" w:rsidRDefault="00DA3378">
      <w:pPr>
        <w:rPr>
          <w:rStyle w:val="ui-provider"/>
        </w:rPr>
      </w:pPr>
      <w:r>
        <w:rPr>
          <w:rStyle w:val="ui-provider"/>
        </w:rPr>
        <w:t>An</w:t>
      </w:r>
      <w:r w:rsidR="00A504B4">
        <w:rPr>
          <w:rStyle w:val="ui-provider"/>
        </w:rPr>
        <w:t xml:space="preserve"> indicative CoSTAR </w:t>
      </w:r>
      <w:r w:rsidRPr="00A504B4">
        <w:rPr>
          <w:rStyle w:val="ui-provider"/>
        </w:rPr>
        <w:t xml:space="preserve">Satellite Studio and Incubator Space </w:t>
      </w:r>
      <w:r w:rsidR="00A504B4">
        <w:rPr>
          <w:rStyle w:val="ui-provider"/>
        </w:rPr>
        <w:t>programme plan is set out below</w:t>
      </w:r>
      <w:r>
        <w:rPr>
          <w:rStyle w:val="ui-provider"/>
        </w:rPr>
        <w:t>.  This will be further tested in the coming weeks.</w:t>
      </w:r>
    </w:p>
    <w:p w14:paraId="0A4EB4B6" w14:textId="0BF2B7AD" w:rsidR="00A504B4" w:rsidRPr="00A504B4" w:rsidRDefault="00DA3378">
      <w:pPr>
        <w:rPr>
          <w:rStyle w:val="ui-provider"/>
        </w:rPr>
      </w:pPr>
      <w:r w:rsidRPr="00DA3378">
        <w:rPr>
          <w:noProof/>
        </w:rPr>
        <w:drawing>
          <wp:inline distT="0" distB="0" distL="0" distR="0" wp14:anchorId="797D27C2" wp14:editId="45203CE6">
            <wp:extent cx="5731510" cy="1350010"/>
            <wp:effectExtent l="0" t="0" r="2540" b="2540"/>
            <wp:docPr id="1"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 number&#10;&#10;Description automatically generated"/>
                    <pic:cNvPicPr/>
                  </pic:nvPicPr>
                  <pic:blipFill>
                    <a:blip r:embed="rId11"/>
                    <a:stretch>
                      <a:fillRect/>
                    </a:stretch>
                  </pic:blipFill>
                  <pic:spPr>
                    <a:xfrm>
                      <a:off x="0" y="0"/>
                      <a:ext cx="5731510" cy="1350010"/>
                    </a:xfrm>
                    <a:prstGeom prst="rect">
                      <a:avLst/>
                    </a:prstGeom>
                  </pic:spPr>
                </pic:pic>
              </a:graphicData>
            </a:graphic>
          </wp:inline>
        </w:drawing>
      </w:r>
    </w:p>
    <w:p w14:paraId="2EB55B0F" w14:textId="06DE3704" w:rsidR="00DA24CE" w:rsidRPr="00DA3378" w:rsidRDefault="00DA3378">
      <w:pPr>
        <w:rPr>
          <w:rStyle w:val="ui-provider"/>
          <w:u w:val="single"/>
        </w:rPr>
      </w:pPr>
      <w:r w:rsidRPr="00DA3378">
        <w:rPr>
          <w:rStyle w:val="ui-provider"/>
          <w:u w:val="single"/>
        </w:rPr>
        <w:t>Next Steps?</w:t>
      </w:r>
    </w:p>
    <w:p w14:paraId="0B6EE7DB" w14:textId="6B639A75" w:rsidR="00DA3378" w:rsidRDefault="00DA3378">
      <w:pPr>
        <w:rPr>
          <w:rStyle w:val="ui-provider"/>
        </w:rPr>
      </w:pPr>
      <w:r>
        <w:rPr>
          <w:rStyle w:val="ui-provider"/>
        </w:rPr>
        <w:t xml:space="preserve">A formal Government announcement that </w:t>
      </w:r>
      <w:r w:rsidRPr="00DA3378">
        <w:rPr>
          <w:rStyle w:val="ui-provider"/>
        </w:rPr>
        <w:t>Royal Holloway, University of London, is the preferred bidder for the national Convergent Screen Technologies and performance in Realtime (CoSTAR) lab</w:t>
      </w:r>
      <w:r>
        <w:rPr>
          <w:rStyle w:val="ui-provider"/>
        </w:rPr>
        <w:t xml:space="preserve"> </w:t>
      </w:r>
      <w:r w:rsidR="00D148E5">
        <w:rPr>
          <w:rStyle w:val="ui-provider"/>
        </w:rPr>
        <w:t xml:space="preserve">was </w:t>
      </w:r>
      <w:r w:rsidR="00C26EE6">
        <w:rPr>
          <w:rStyle w:val="ui-provider"/>
        </w:rPr>
        <w:t>made on T</w:t>
      </w:r>
      <w:r>
        <w:rPr>
          <w:rStyle w:val="ui-provider"/>
        </w:rPr>
        <w:t>uesday 13 Ju</w:t>
      </w:r>
      <w:r w:rsidR="00C26EE6">
        <w:rPr>
          <w:rStyle w:val="ui-provider"/>
        </w:rPr>
        <w:t>ne</w:t>
      </w:r>
      <w:r>
        <w:rPr>
          <w:rStyle w:val="ui-provider"/>
        </w:rPr>
        <w:t>.</w:t>
      </w:r>
      <w:r w:rsidR="003B30CE">
        <w:rPr>
          <w:rStyle w:val="ui-provider"/>
        </w:rPr>
        <w:t xml:space="preserve">  A period of </w:t>
      </w:r>
      <w:r w:rsidR="00930CB2">
        <w:rPr>
          <w:rStyle w:val="ui-provider"/>
        </w:rPr>
        <w:t>contract negotiation with HM Treasury is now expected prior to a formal announcement and official CoSTAR launch in October 2023.</w:t>
      </w:r>
    </w:p>
    <w:p w14:paraId="0FE2E1D0" w14:textId="3F78FBEA" w:rsidR="00DA3378" w:rsidRDefault="00DA3378">
      <w:pPr>
        <w:rPr>
          <w:rStyle w:val="ui-provider"/>
        </w:rPr>
      </w:pPr>
      <w:r>
        <w:rPr>
          <w:rStyle w:val="ui-provider"/>
        </w:rPr>
        <w:t xml:space="preserve">A Business Case to test the public value of SCC’s capital contribution </w:t>
      </w:r>
      <w:r w:rsidRPr="00DA3378">
        <w:rPr>
          <w:rStyle w:val="ui-provider"/>
        </w:rPr>
        <w:t xml:space="preserve">to a satellite studio and incubator space </w:t>
      </w:r>
      <w:r w:rsidR="00D148E5">
        <w:rPr>
          <w:rStyle w:val="ui-provider"/>
        </w:rPr>
        <w:t xml:space="preserve">was approved by the </w:t>
      </w:r>
      <w:r>
        <w:rPr>
          <w:rStyle w:val="ui-provider"/>
        </w:rPr>
        <w:t xml:space="preserve">Surrey Infrastructure Board on </w:t>
      </w:r>
      <w:r w:rsidR="00930CB2">
        <w:rPr>
          <w:rStyle w:val="ui-provider"/>
        </w:rPr>
        <w:t>20th June and</w:t>
      </w:r>
      <w:r w:rsidR="00D148E5">
        <w:rPr>
          <w:rStyle w:val="ui-provider"/>
        </w:rPr>
        <w:t xml:space="preserve"> will be considered by </w:t>
      </w:r>
      <w:r>
        <w:rPr>
          <w:rStyle w:val="ui-provider"/>
        </w:rPr>
        <w:t>Capital Programme Panel</w:t>
      </w:r>
      <w:r w:rsidR="003B30CE">
        <w:rPr>
          <w:rStyle w:val="ui-provider"/>
        </w:rPr>
        <w:t xml:space="preserve"> (CPP)</w:t>
      </w:r>
      <w:r w:rsidR="00D148E5">
        <w:rPr>
          <w:rStyle w:val="ui-provider"/>
        </w:rPr>
        <w:t xml:space="preserve"> on Tuesday 18 July</w:t>
      </w:r>
      <w:r w:rsidR="003B30CE">
        <w:rPr>
          <w:rStyle w:val="ui-provider"/>
        </w:rPr>
        <w:t>.  If approved, formal Cabinet approval is expected in September or October (depending on agenda capacity).</w:t>
      </w:r>
    </w:p>
    <w:p w14:paraId="1AB7FB89" w14:textId="164C05A4" w:rsidR="00DA24CE" w:rsidRPr="00DA3378" w:rsidRDefault="00DA3378">
      <w:pPr>
        <w:rPr>
          <w:rStyle w:val="ui-provider"/>
          <w:b/>
          <w:bCs/>
        </w:rPr>
      </w:pPr>
      <w:r w:rsidRPr="00DA3378">
        <w:rPr>
          <w:rStyle w:val="ui-provider"/>
          <w:b/>
          <w:bCs/>
        </w:rPr>
        <w:t>Ends</w:t>
      </w:r>
    </w:p>
    <w:p w14:paraId="2DB274FD" w14:textId="77777777" w:rsidR="006F203A" w:rsidRDefault="006F203A">
      <w:pPr>
        <w:rPr>
          <w:rFonts w:ascii="Avenir Next LT Pro" w:hAnsi="Avenir Next LT Pro"/>
          <w:b/>
          <w:bCs/>
          <w:sz w:val="24"/>
          <w:szCs w:val="24"/>
        </w:rPr>
      </w:pPr>
      <w:r>
        <w:rPr>
          <w:rFonts w:ascii="Avenir Next LT Pro" w:hAnsi="Avenir Next LT Pro"/>
          <w:b/>
          <w:bCs/>
          <w:sz w:val="24"/>
          <w:szCs w:val="24"/>
        </w:rPr>
        <w:br w:type="page"/>
      </w:r>
    </w:p>
    <w:p w14:paraId="03670493" w14:textId="2F5D69D9" w:rsidR="006F203A" w:rsidRPr="00A504B4" w:rsidRDefault="006F203A" w:rsidP="006F203A">
      <w:pPr>
        <w:rPr>
          <w:rStyle w:val="ui-provider"/>
          <w:b/>
          <w:bCs/>
        </w:rPr>
      </w:pPr>
      <w:r w:rsidRPr="00A504B4">
        <w:rPr>
          <w:rStyle w:val="ui-provider"/>
          <w:b/>
          <w:bCs/>
        </w:rPr>
        <w:lastRenderedPageBreak/>
        <w:t xml:space="preserve">Appendix I: CoSTAR partner bid team and roles and responsibilities </w:t>
      </w:r>
    </w:p>
    <w:tbl>
      <w:tblPr>
        <w:tblStyle w:val="TableGrid"/>
        <w:tblW w:w="9176" w:type="dxa"/>
        <w:tblLook w:val="04A0" w:firstRow="1" w:lastRow="0" w:firstColumn="1" w:lastColumn="0" w:noHBand="0" w:noVBand="1"/>
      </w:tblPr>
      <w:tblGrid>
        <w:gridCol w:w="2263"/>
        <w:gridCol w:w="1526"/>
        <w:gridCol w:w="5387"/>
      </w:tblGrid>
      <w:tr w:rsidR="006F203A" w:rsidRPr="00315C15" w14:paraId="413170E3" w14:textId="77777777" w:rsidTr="00D17ACB">
        <w:tc>
          <w:tcPr>
            <w:tcW w:w="2263" w:type="dxa"/>
            <w:shd w:val="clear" w:color="auto" w:fill="D9D9D9" w:themeFill="background1" w:themeFillShade="D9"/>
          </w:tcPr>
          <w:p w14:paraId="54B6F9FA" w14:textId="77777777" w:rsidR="006F203A" w:rsidRPr="00A504B4" w:rsidRDefault="006F203A" w:rsidP="00D17ACB">
            <w:pPr>
              <w:rPr>
                <w:rFonts w:cstheme="minorHAnsi"/>
                <w:b/>
                <w:bCs/>
              </w:rPr>
            </w:pPr>
            <w:r w:rsidRPr="00A504B4">
              <w:rPr>
                <w:rFonts w:cstheme="minorHAnsi"/>
                <w:b/>
                <w:bCs/>
              </w:rPr>
              <w:t>CoSTAR partner</w:t>
            </w:r>
          </w:p>
        </w:tc>
        <w:tc>
          <w:tcPr>
            <w:tcW w:w="1526" w:type="dxa"/>
            <w:shd w:val="clear" w:color="auto" w:fill="D9D9D9" w:themeFill="background1" w:themeFillShade="D9"/>
          </w:tcPr>
          <w:p w14:paraId="0AA0D7F2" w14:textId="77777777" w:rsidR="006F203A" w:rsidRPr="00A504B4" w:rsidRDefault="006F203A" w:rsidP="00D17ACB">
            <w:pPr>
              <w:rPr>
                <w:rFonts w:cstheme="minorHAnsi"/>
                <w:b/>
                <w:bCs/>
              </w:rPr>
            </w:pPr>
            <w:r w:rsidRPr="00A504B4">
              <w:rPr>
                <w:rFonts w:cstheme="minorHAnsi"/>
                <w:b/>
                <w:bCs/>
              </w:rPr>
              <w:t>Role</w:t>
            </w:r>
          </w:p>
        </w:tc>
        <w:tc>
          <w:tcPr>
            <w:tcW w:w="5387" w:type="dxa"/>
            <w:shd w:val="clear" w:color="auto" w:fill="D9D9D9" w:themeFill="background1" w:themeFillShade="D9"/>
          </w:tcPr>
          <w:p w14:paraId="57891682" w14:textId="77777777" w:rsidR="006F203A" w:rsidRPr="00A504B4" w:rsidRDefault="006F203A" w:rsidP="00D17ACB">
            <w:pPr>
              <w:rPr>
                <w:rFonts w:cstheme="minorHAnsi"/>
                <w:b/>
                <w:bCs/>
              </w:rPr>
            </w:pPr>
            <w:r w:rsidRPr="00A504B4">
              <w:rPr>
                <w:rFonts w:cstheme="minorHAnsi"/>
                <w:b/>
                <w:bCs/>
              </w:rPr>
              <w:t>Responsibilities</w:t>
            </w:r>
          </w:p>
        </w:tc>
      </w:tr>
      <w:tr w:rsidR="006F203A" w14:paraId="46905C82" w14:textId="77777777" w:rsidTr="00D17ACB">
        <w:tc>
          <w:tcPr>
            <w:tcW w:w="2263" w:type="dxa"/>
          </w:tcPr>
          <w:p w14:paraId="20C49161" w14:textId="77777777" w:rsidR="006F203A" w:rsidRPr="00A504B4" w:rsidRDefault="006F203A" w:rsidP="00D17ACB">
            <w:pPr>
              <w:rPr>
                <w:rFonts w:cstheme="minorHAnsi"/>
              </w:rPr>
            </w:pPr>
            <w:r w:rsidRPr="00A504B4">
              <w:rPr>
                <w:rFonts w:cstheme="minorHAnsi"/>
              </w:rPr>
              <w:t>RHUL (StoryFutures)</w:t>
            </w:r>
          </w:p>
        </w:tc>
        <w:tc>
          <w:tcPr>
            <w:tcW w:w="1526" w:type="dxa"/>
          </w:tcPr>
          <w:p w14:paraId="3009F2B5" w14:textId="77777777" w:rsidR="006F203A" w:rsidRPr="00A504B4" w:rsidRDefault="006F203A" w:rsidP="00D17ACB">
            <w:pPr>
              <w:rPr>
                <w:rFonts w:cstheme="minorHAnsi"/>
              </w:rPr>
            </w:pPr>
            <w:r w:rsidRPr="00A504B4">
              <w:rPr>
                <w:rFonts w:cstheme="minorHAnsi"/>
              </w:rPr>
              <w:t>Lead HEI</w:t>
            </w:r>
          </w:p>
        </w:tc>
        <w:tc>
          <w:tcPr>
            <w:tcW w:w="5387" w:type="dxa"/>
          </w:tcPr>
          <w:p w14:paraId="08B0D3A3" w14:textId="77777777" w:rsidR="006F203A" w:rsidRPr="00A504B4" w:rsidRDefault="006F203A" w:rsidP="00D17ACB">
            <w:pPr>
              <w:rPr>
                <w:rFonts w:cstheme="minorHAnsi"/>
              </w:rPr>
            </w:pPr>
            <w:r w:rsidRPr="00A504B4">
              <w:rPr>
                <w:rFonts w:cstheme="minorHAnsi"/>
              </w:rPr>
              <w:t xml:space="preserve">Overall CoSTAR delivery; legal and compliance frameworks; partnership framework; monitoring / evaluation; management board; cross-institutional coordination; HEI Lead coordinating R&amp;D teams from Surrey and Abertay who both provide 3 x R&amp;D capability teams, PhDs and significant resources: </w:t>
            </w:r>
          </w:p>
          <w:p w14:paraId="02B3CB71" w14:textId="77777777" w:rsidR="006F203A" w:rsidRPr="00A504B4" w:rsidRDefault="006F203A" w:rsidP="00D17ACB">
            <w:pPr>
              <w:rPr>
                <w:rFonts w:cstheme="minorHAnsi"/>
              </w:rPr>
            </w:pPr>
          </w:p>
        </w:tc>
      </w:tr>
      <w:tr w:rsidR="006F203A" w14:paraId="4B280E81" w14:textId="77777777" w:rsidTr="00D17ACB">
        <w:tc>
          <w:tcPr>
            <w:tcW w:w="2263" w:type="dxa"/>
          </w:tcPr>
          <w:p w14:paraId="2B39B262" w14:textId="77777777" w:rsidR="006F203A" w:rsidRPr="00A504B4" w:rsidRDefault="006F203A" w:rsidP="00D17ACB">
            <w:pPr>
              <w:rPr>
                <w:rFonts w:cstheme="minorHAnsi"/>
              </w:rPr>
            </w:pPr>
            <w:r w:rsidRPr="00A504B4">
              <w:rPr>
                <w:rFonts w:cstheme="minorHAnsi"/>
              </w:rPr>
              <w:t xml:space="preserve">University of Surrey (Centre for Vision, Speech, and Signal Processing) </w:t>
            </w:r>
          </w:p>
        </w:tc>
        <w:tc>
          <w:tcPr>
            <w:tcW w:w="1526" w:type="dxa"/>
          </w:tcPr>
          <w:p w14:paraId="5F7D2B32" w14:textId="77777777" w:rsidR="006F203A" w:rsidRPr="00A504B4" w:rsidRDefault="006F203A" w:rsidP="00D17ACB">
            <w:pPr>
              <w:rPr>
                <w:rFonts w:cstheme="minorHAnsi"/>
              </w:rPr>
            </w:pPr>
            <w:r w:rsidRPr="00A504B4">
              <w:rPr>
                <w:rFonts w:cstheme="minorHAnsi"/>
              </w:rPr>
              <w:t>HEI partner</w:t>
            </w:r>
          </w:p>
        </w:tc>
        <w:tc>
          <w:tcPr>
            <w:tcW w:w="5387" w:type="dxa"/>
          </w:tcPr>
          <w:p w14:paraId="5FEF15F2" w14:textId="77777777" w:rsidR="006F203A" w:rsidRPr="00A504B4" w:rsidRDefault="006F203A" w:rsidP="00D17ACB">
            <w:pPr>
              <w:rPr>
                <w:rFonts w:cstheme="minorHAnsi"/>
              </w:rPr>
            </w:pPr>
            <w:r w:rsidRPr="00A504B4">
              <w:rPr>
                <w:rFonts w:cstheme="minorHAnsi"/>
              </w:rPr>
              <w:t>Asset Creation; Automation; Real-time</w:t>
            </w:r>
          </w:p>
          <w:p w14:paraId="7229DD9F" w14:textId="77777777" w:rsidR="006F203A" w:rsidRPr="00A504B4" w:rsidRDefault="006F203A" w:rsidP="00D17ACB">
            <w:pPr>
              <w:rPr>
                <w:rFonts w:cstheme="minorHAnsi"/>
              </w:rPr>
            </w:pPr>
          </w:p>
        </w:tc>
      </w:tr>
      <w:tr w:rsidR="006F203A" w14:paraId="45CF6778" w14:textId="77777777" w:rsidTr="00D17ACB">
        <w:tc>
          <w:tcPr>
            <w:tcW w:w="2263" w:type="dxa"/>
          </w:tcPr>
          <w:p w14:paraId="5AC13A83" w14:textId="77777777" w:rsidR="006F203A" w:rsidRPr="00A504B4" w:rsidRDefault="006F203A" w:rsidP="00D17ACB">
            <w:pPr>
              <w:rPr>
                <w:rFonts w:cstheme="minorHAnsi"/>
              </w:rPr>
            </w:pPr>
            <w:r w:rsidRPr="00A504B4">
              <w:rPr>
                <w:rFonts w:cstheme="minorHAnsi"/>
              </w:rPr>
              <w:t>University of Abertay (School of Design and Informatics)</w:t>
            </w:r>
          </w:p>
        </w:tc>
        <w:tc>
          <w:tcPr>
            <w:tcW w:w="1526" w:type="dxa"/>
          </w:tcPr>
          <w:p w14:paraId="41EE90A7" w14:textId="77777777" w:rsidR="006F203A" w:rsidRPr="00A504B4" w:rsidRDefault="006F203A" w:rsidP="00D17ACB">
            <w:pPr>
              <w:rPr>
                <w:rFonts w:cstheme="minorHAnsi"/>
              </w:rPr>
            </w:pPr>
            <w:r w:rsidRPr="00A504B4">
              <w:rPr>
                <w:rFonts w:cstheme="minorHAnsi"/>
              </w:rPr>
              <w:t>HEI partner</w:t>
            </w:r>
          </w:p>
        </w:tc>
        <w:tc>
          <w:tcPr>
            <w:tcW w:w="5387" w:type="dxa"/>
          </w:tcPr>
          <w:p w14:paraId="78302112" w14:textId="77777777" w:rsidR="006F203A" w:rsidRPr="00A504B4" w:rsidRDefault="006F203A" w:rsidP="00D17ACB">
            <w:pPr>
              <w:rPr>
                <w:rFonts w:cstheme="minorHAnsi"/>
              </w:rPr>
            </w:pPr>
            <w:r w:rsidRPr="00A504B4">
              <w:rPr>
                <w:rFonts w:cstheme="minorHAnsi"/>
              </w:rPr>
              <w:t xml:space="preserve">Networks; Int &amp; Virtual space; Democratisation </w:t>
            </w:r>
          </w:p>
          <w:p w14:paraId="6971978A" w14:textId="77777777" w:rsidR="006F203A" w:rsidRPr="00A504B4" w:rsidRDefault="006F203A" w:rsidP="00D17ACB">
            <w:pPr>
              <w:rPr>
                <w:rFonts w:cstheme="minorHAnsi"/>
              </w:rPr>
            </w:pPr>
          </w:p>
        </w:tc>
      </w:tr>
      <w:tr w:rsidR="006F203A" w14:paraId="413F1FE9" w14:textId="77777777" w:rsidTr="00D17ACB">
        <w:tc>
          <w:tcPr>
            <w:tcW w:w="2263" w:type="dxa"/>
          </w:tcPr>
          <w:p w14:paraId="40C1345F" w14:textId="77777777" w:rsidR="006F203A" w:rsidRPr="00A504B4" w:rsidRDefault="006F203A" w:rsidP="00D17ACB">
            <w:pPr>
              <w:rPr>
                <w:rFonts w:cstheme="minorHAnsi"/>
              </w:rPr>
            </w:pPr>
            <w:r w:rsidRPr="00A504B4">
              <w:rPr>
                <w:rFonts w:cstheme="minorHAnsi"/>
              </w:rPr>
              <w:t>National Film &amp; Television School</w:t>
            </w:r>
          </w:p>
        </w:tc>
        <w:tc>
          <w:tcPr>
            <w:tcW w:w="1526" w:type="dxa"/>
          </w:tcPr>
          <w:p w14:paraId="4F02E8D1" w14:textId="77777777" w:rsidR="006F203A" w:rsidRPr="00A504B4" w:rsidRDefault="006F203A" w:rsidP="00D17ACB">
            <w:pPr>
              <w:rPr>
                <w:rFonts w:cstheme="minorHAnsi"/>
              </w:rPr>
            </w:pPr>
            <w:r w:rsidRPr="00A504B4">
              <w:rPr>
                <w:rFonts w:cstheme="minorHAnsi"/>
              </w:rPr>
              <w:t>Training and Production partner</w:t>
            </w:r>
          </w:p>
        </w:tc>
        <w:tc>
          <w:tcPr>
            <w:tcW w:w="5387" w:type="dxa"/>
          </w:tcPr>
          <w:p w14:paraId="3DAA7EA1" w14:textId="77777777" w:rsidR="006F203A" w:rsidRPr="00A504B4" w:rsidRDefault="006F203A" w:rsidP="00D17ACB">
            <w:pPr>
              <w:rPr>
                <w:rFonts w:cstheme="minorHAnsi"/>
              </w:rPr>
            </w:pPr>
            <w:r w:rsidRPr="00A504B4">
              <w:rPr>
                <w:rFonts w:cstheme="minorHAnsi"/>
              </w:rPr>
              <w:t xml:space="preserve">Stage and Studio Operations; industry networks; integration of training programmes; co-deliver pilot/demos  </w:t>
            </w:r>
          </w:p>
          <w:p w14:paraId="50C8C51F" w14:textId="77777777" w:rsidR="006F203A" w:rsidRPr="00A504B4" w:rsidRDefault="006F203A" w:rsidP="00D17ACB">
            <w:pPr>
              <w:rPr>
                <w:rFonts w:cstheme="minorHAnsi"/>
              </w:rPr>
            </w:pPr>
          </w:p>
        </w:tc>
      </w:tr>
      <w:tr w:rsidR="006F203A" w14:paraId="4FAD1B60" w14:textId="77777777" w:rsidTr="00D17ACB">
        <w:tc>
          <w:tcPr>
            <w:tcW w:w="2263" w:type="dxa"/>
          </w:tcPr>
          <w:p w14:paraId="2DB80BD5" w14:textId="77777777" w:rsidR="006F203A" w:rsidRPr="00A504B4" w:rsidRDefault="006F203A" w:rsidP="00D17ACB">
            <w:pPr>
              <w:rPr>
                <w:rFonts w:cstheme="minorHAnsi"/>
              </w:rPr>
            </w:pPr>
            <w:r w:rsidRPr="00A504B4">
              <w:rPr>
                <w:rFonts w:cstheme="minorHAnsi"/>
              </w:rPr>
              <w:t xml:space="preserve">Pinewood Group </w:t>
            </w:r>
          </w:p>
        </w:tc>
        <w:tc>
          <w:tcPr>
            <w:tcW w:w="1526" w:type="dxa"/>
          </w:tcPr>
          <w:p w14:paraId="08AAAA39" w14:textId="77777777" w:rsidR="006F203A" w:rsidRPr="00A504B4" w:rsidRDefault="006F203A" w:rsidP="00D17ACB">
            <w:pPr>
              <w:rPr>
                <w:rFonts w:cstheme="minorHAnsi"/>
              </w:rPr>
            </w:pPr>
            <w:r w:rsidRPr="00A504B4">
              <w:rPr>
                <w:rFonts w:cstheme="minorHAnsi"/>
              </w:rPr>
              <w:t>Studio partner</w:t>
            </w:r>
          </w:p>
        </w:tc>
        <w:tc>
          <w:tcPr>
            <w:tcW w:w="5387" w:type="dxa"/>
          </w:tcPr>
          <w:p w14:paraId="1650F6E5" w14:textId="77777777" w:rsidR="006F203A" w:rsidRPr="00A504B4" w:rsidRDefault="006F203A" w:rsidP="00D17ACB">
            <w:pPr>
              <w:rPr>
                <w:rFonts w:cstheme="minorHAnsi"/>
              </w:rPr>
            </w:pPr>
            <w:r w:rsidRPr="00A504B4">
              <w:rPr>
                <w:rFonts w:cstheme="minorHAnsi"/>
              </w:rPr>
              <w:t xml:space="preserve">Co-location site and building for Lab. </w:t>
            </w:r>
          </w:p>
          <w:p w14:paraId="3B1C6CC8" w14:textId="77777777" w:rsidR="006F203A" w:rsidRPr="00A504B4" w:rsidRDefault="006F203A" w:rsidP="00D17ACB">
            <w:pPr>
              <w:rPr>
                <w:rFonts w:cstheme="minorHAnsi"/>
              </w:rPr>
            </w:pPr>
            <w:r w:rsidRPr="00A504B4">
              <w:rPr>
                <w:rFonts w:cstheme="minorHAnsi"/>
              </w:rPr>
              <w:t>Integration to Pinewood ecosystem, commercialising studio business space.</w:t>
            </w:r>
          </w:p>
          <w:p w14:paraId="4C861A55" w14:textId="77777777" w:rsidR="006F203A" w:rsidRPr="00A504B4" w:rsidRDefault="006F203A" w:rsidP="00D17ACB">
            <w:pPr>
              <w:rPr>
                <w:rFonts w:cstheme="minorHAnsi"/>
              </w:rPr>
            </w:pPr>
          </w:p>
        </w:tc>
      </w:tr>
      <w:tr w:rsidR="006F203A" w14:paraId="437E1AEC" w14:textId="77777777" w:rsidTr="00D17ACB">
        <w:tc>
          <w:tcPr>
            <w:tcW w:w="2263" w:type="dxa"/>
          </w:tcPr>
          <w:p w14:paraId="3F000C50" w14:textId="77777777" w:rsidR="006F203A" w:rsidRPr="00A504B4" w:rsidRDefault="006F203A" w:rsidP="00D17ACB">
            <w:pPr>
              <w:rPr>
                <w:rFonts w:cstheme="minorHAnsi"/>
              </w:rPr>
            </w:pPr>
            <w:r w:rsidRPr="00A504B4">
              <w:rPr>
                <w:rFonts w:cstheme="minorHAnsi"/>
              </w:rPr>
              <w:t>Surrey County Council and Buckinghamshire County Council</w:t>
            </w:r>
          </w:p>
        </w:tc>
        <w:tc>
          <w:tcPr>
            <w:tcW w:w="1526" w:type="dxa"/>
          </w:tcPr>
          <w:p w14:paraId="7FE53C1D" w14:textId="77777777" w:rsidR="006F203A" w:rsidRPr="00A504B4" w:rsidRDefault="006F203A" w:rsidP="00D17ACB">
            <w:pPr>
              <w:rPr>
                <w:rFonts w:cstheme="minorHAnsi"/>
              </w:rPr>
            </w:pPr>
            <w:r w:rsidRPr="00A504B4">
              <w:rPr>
                <w:rFonts w:cstheme="minorHAnsi"/>
              </w:rPr>
              <w:t>Local authority civic partner</w:t>
            </w:r>
          </w:p>
        </w:tc>
        <w:tc>
          <w:tcPr>
            <w:tcW w:w="5387" w:type="dxa"/>
          </w:tcPr>
          <w:p w14:paraId="184029AF" w14:textId="77777777" w:rsidR="006F203A" w:rsidRPr="00A504B4" w:rsidRDefault="006F203A" w:rsidP="00D17ACB">
            <w:pPr>
              <w:rPr>
                <w:rFonts w:cstheme="minorHAnsi"/>
              </w:rPr>
            </w:pPr>
            <w:r w:rsidRPr="00A504B4">
              <w:rPr>
                <w:rFonts w:cstheme="minorHAnsi"/>
              </w:rPr>
              <w:t>Continued local government support through networks, policy, strategy, capital and programme funding</w:t>
            </w:r>
          </w:p>
          <w:p w14:paraId="708BEFDE" w14:textId="77777777" w:rsidR="006F203A" w:rsidRPr="00A504B4" w:rsidRDefault="006F203A" w:rsidP="00D17ACB">
            <w:pPr>
              <w:rPr>
                <w:rFonts w:cstheme="minorHAnsi"/>
              </w:rPr>
            </w:pPr>
          </w:p>
        </w:tc>
      </w:tr>
      <w:tr w:rsidR="006F203A" w14:paraId="1B28D8FE" w14:textId="77777777" w:rsidTr="00D17ACB">
        <w:tc>
          <w:tcPr>
            <w:tcW w:w="2263" w:type="dxa"/>
          </w:tcPr>
          <w:p w14:paraId="57DBB290" w14:textId="77777777" w:rsidR="006F203A" w:rsidRPr="00A504B4" w:rsidRDefault="006F203A" w:rsidP="00D17ACB">
            <w:pPr>
              <w:rPr>
                <w:rFonts w:cstheme="minorHAnsi"/>
              </w:rPr>
            </w:pPr>
            <w:r w:rsidRPr="00A504B4">
              <w:rPr>
                <w:rFonts w:cstheme="minorHAnsi"/>
              </w:rPr>
              <w:t>BT</w:t>
            </w:r>
          </w:p>
        </w:tc>
        <w:tc>
          <w:tcPr>
            <w:tcW w:w="1526" w:type="dxa"/>
          </w:tcPr>
          <w:p w14:paraId="225E2E8F" w14:textId="77777777" w:rsidR="006F203A" w:rsidRPr="00A504B4" w:rsidRDefault="006F203A" w:rsidP="00D17ACB">
            <w:pPr>
              <w:rPr>
                <w:rFonts w:cstheme="minorHAnsi"/>
              </w:rPr>
            </w:pPr>
            <w:r w:rsidRPr="00A504B4">
              <w:rPr>
                <w:rFonts w:cstheme="minorHAnsi"/>
              </w:rPr>
              <w:t>Tech partner</w:t>
            </w:r>
          </w:p>
        </w:tc>
        <w:tc>
          <w:tcPr>
            <w:tcW w:w="5387" w:type="dxa"/>
          </w:tcPr>
          <w:p w14:paraId="122CDB2D" w14:textId="77777777" w:rsidR="006F203A" w:rsidRPr="00A504B4" w:rsidRDefault="006F203A" w:rsidP="00D17ACB">
            <w:pPr>
              <w:rPr>
                <w:rFonts w:cstheme="minorHAnsi"/>
              </w:rPr>
            </w:pPr>
            <w:r w:rsidRPr="00A504B4">
              <w:rPr>
                <w:rFonts w:cstheme="minorHAnsi"/>
              </w:rPr>
              <w:t>5G/6G network fit out and operation; R&amp;D teams</w:t>
            </w:r>
          </w:p>
          <w:p w14:paraId="5DE0FBCD" w14:textId="77777777" w:rsidR="006F203A" w:rsidRPr="00A504B4" w:rsidRDefault="006F203A" w:rsidP="00D17ACB">
            <w:pPr>
              <w:rPr>
                <w:rFonts w:cstheme="minorHAnsi"/>
              </w:rPr>
            </w:pPr>
          </w:p>
        </w:tc>
      </w:tr>
      <w:tr w:rsidR="006F203A" w14:paraId="32EB299D" w14:textId="77777777" w:rsidTr="00D17ACB">
        <w:tc>
          <w:tcPr>
            <w:tcW w:w="2263" w:type="dxa"/>
          </w:tcPr>
          <w:p w14:paraId="091942DF" w14:textId="77777777" w:rsidR="006F203A" w:rsidRPr="00A504B4" w:rsidRDefault="006F203A" w:rsidP="00D17ACB">
            <w:pPr>
              <w:rPr>
                <w:rFonts w:cstheme="minorHAnsi"/>
              </w:rPr>
            </w:pPr>
            <w:r w:rsidRPr="00A504B4">
              <w:rPr>
                <w:rFonts w:cstheme="minorHAnsi"/>
              </w:rPr>
              <w:t>Disguise</w:t>
            </w:r>
          </w:p>
        </w:tc>
        <w:tc>
          <w:tcPr>
            <w:tcW w:w="1526" w:type="dxa"/>
          </w:tcPr>
          <w:p w14:paraId="29271A23" w14:textId="77777777" w:rsidR="006F203A" w:rsidRPr="00A504B4" w:rsidRDefault="006F203A" w:rsidP="00D17ACB">
            <w:pPr>
              <w:rPr>
                <w:rFonts w:cstheme="minorHAnsi"/>
              </w:rPr>
            </w:pPr>
            <w:r w:rsidRPr="00A504B4">
              <w:rPr>
                <w:rFonts w:cstheme="minorHAnsi"/>
              </w:rPr>
              <w:t>Tech partner</w:t>
            </w:r>
          </w:p>
        </w:tc>
        <w:tc>
          <w:tcPr>
            <w:tcW w:w="5387" w:type="dxa"/>
          </w:tcPr>
          <w:p w14:paraId="5C22823C" w14:textId="77777777" w:rsidR="006F203A" w:rsidRPr="00A504B4" w:rsidRDefault="006F203A" w:rsidP="00D17ACB">
            <w:pPr>
              <w:rPr>
                <w:rFonts w:cstheme="minorHAnsi"/>
              </w:rPr>
            </w:pPr>
            <w:r w:rsidRPr="00A504B4">
              <w:rPr>
                <w:rFonts w:cstheme="minorHAnsi"/>
              </w:rPr>
              <w:t>Realtime and server fit out; R&amp;D teams; commercial R&amp;D programmes;</w:t>
            </w:r>
          </w:p>
        </w:tc>
      </w:tr>
    </w:tbl>
    <w:p w14:paraId="02A84282" w14:textId="77777777" w:rsidR="006F203A" w:rsidRDefault="006F203A" w:rsidP="006F203A">
      <w:pPr>
        <w:rPr>
          <w:rFonts w:ascii="Avenir Next LT Pro" w:hAnsi="Avenir Next LT Pro"/>
          <w:sz w:val="24"/>
          <w:szCs w:val="24"/>
        </w:rPr>
      </w:pPr>
    </w:p>
    <w:p w14:paraId="22DF4507" w14:textId="77777777" w:rsidR="002F7934" w:rsidRDefault="002F7934"/>
    <w:sectPr w:rsidR="002F793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25CB" w14:textId="77777777" w:rsidR="00857C80" w:rsidRDefault="00857C80" w:rsidP="00DA24CE">
      <w:pPr>
        <w:spacing w:after="0" w:line="240" w:lineRule="auto"/>
      </w:pPr>
      <w:r>
        <w:separator/>
      </w:r>
    </w:p>
  </w:endnote>
  <w:endnote w:type="continuationSeparator" w:id="0">
    <w:p w14:paraId="25A66F87" w14:textId="77777777" w:rsidR="00857C80" w:rsidRDefault="00857C80" w:rsidP="00DA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562681"/>
      <w:docPartObj>
        <w:docPartGallery w:val="Page Numbers (Bottom of Page)"/>
        <w:docPartUnique/>
      </w:docPartObj>
    </w:sdtPr>
    <w:sdtEndPr>
      <w:rPr>
        <w:noProof/>
      </w:rPr>
    </w:sdtEndPr>
    <w:sdtContent>
      <w:p w14:paraId="5B57C96E" w14:textId="2587BD53" w:rsidR="005E2A42" w:rsidRDefault="005E2A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7D0F9E" w14:textId="77777777" w:rsidR="005E2A42" w:rsidRDefault="005E2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676D" w14:textId="77777777" w:rsidR="00857C80" w:rsidRDefault="00857C80" w:rsidP="00DA24CE">
      <w:pPr>
        <w:spacing w:after="0" w:line="240" w:lineRule="auto"/>
      </w:pPr>
      <w:r>
        <w:separator/>
      </w:r>
    </w:p>
  </w:footnote>
  <w:footnote w:type="continuationSeparator" w:id="0">
    <w:p w14:paraId="046B715A" w14:textId="77777777" w:rsidR="00857C80" w:rsidRDefault="00857C80" w:rsidP="00DA2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2D3F" w14:textId="134C4DA2" w:rsidR="00DA24CE" w:rsidRDefault="005E2A42" w:rsidP="00DA24CE">
    <w:pPr>
      <w:pStyle w:val="Header"/>
      <w:jc w:val="center"/>
    </w:pPr>
    <w:r>
      <w:t xml:space="preserve">SURREY COUNTY COUNCIL: CoSTAR BRIEFING NOTE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0CDE"/>
    <w:multiLevelType w:val="hybridMultilevel"/>
    <w:tmpl w:val="C3F65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113FE"/>
    <w:multiLevelType w:val="hybridMultilevel"/>
    <w:tmpl w:val="630C6048"/>
    <w:lvl w:ilvl="0" w:tplc="FEF49A80">
      <w:start w:val="1"/>
      <w:numFmt w:val="bullet"/>
      <w:lvlText w:val="•"/>
      <w:lvlJc w:val="left"/>
      <w:pPr>
        <w:tabs>
          <w:tab w:val="num" w:pos="720"/>
        </w:tabs>
        <w:ind w:left="720" w:hanging="360"/>
      </w:pPr>
      <w:rPr>
        <w:rFonts w:ascii="Arial" w:hAnsi="Arial" w:hint="default"/>
      </w:rPr>
    </w:lvl>
    <w:lvl w:ilvl="1" w:tplc="BF2EF6AC" w:tentative="1">
      <w:start w:val="1"/>
      <w:numFmt w:val="bullet"/>
      <w:lvlText w:val="•"/>
      <w:lvlJc w:val="left"/>
      <w:pPr>
        <w:tabs>
          <w:tab w:val="num" w:pos="1440"/>
        </w:tabs>
        <w:ind w:left="1440" w:hanging="360"/>
      </w:pPr>
      <w:rPr>
        <w:rFonts w:ascii="Arial" w:hAnsi="Arial" w:hint="default"/>
      </w:rPr>
    </w:lvl>
    <w:lvl w:ilvl="2" w:tplc="DE96AC94" w:tentative="1">
      <w:start w:val="1"/>
      <w:numFmt w:val="bullet"/>
      <w:lvlText w:val="•"/>
      <w:lvlJc w:val="left"/>
      <w:pPr>
        <w:tabs>
          <w:tab w:val="num" w:pos="2160"/>
        </w:tabs>
        <w:ind w:left="2160" w:hanging="360"/>
      </w:pPr>
      <w:rPr>
        <w:rFonts w:ascii="Arial" w:hAnsi="Arial" w:hint="default"/>
      </w:rPr>
    </w:lvl>
    <w:lvl w:ilvl="3" w:tplc="2D80FBE8" w:tentative="1">
      <w:start w:val="1"/>
      <w:numFmt w:val="bullet"/>
      <w:lvlText w:val="•"/>
      <w:lvlJc w:val="left"/>
      <w:pPr>
        <w:tabs>
          <w:tab w:val="num" w:pos="2880"/>
        </w:tabs>
        <w:ind w:left="2880" w:hanging="360"/>
      </w:pPr>
      <w:rPr>
        <w:rFonts w:ascii="Arial" w:hAnsi="Arial" w:hint="default"/>
      </w:rPr>
    </w:lvl>
    <w:lvl w:ilvl="4" w:tplc="AF4ED29E" w:tentative="1">
      <w:start w:val="1"/>
      <w:numFmt w:val="bullet"/>
      <w:lvlText w:val="•"/>
      <w:lvlJc w:val="left"/>
      <w:pPr>
        <w:tabs>
          <w:tab w:val="num" w:pos="3600"/>
        </w:tabs>
        <w:ind w:left="3600" w:hanging="360"/>
      </w:pPr>
      <w:rPr>
        <w:rFonts w:ascii="Arial" w:hAnsi="Arial" w:hint="default"/>
      </w:rPr>
    </w:lvl>
    <w:lvl w:ilvl="5" w:tplc="81844D14" w:tentative="1">
      <w:start w:val="1"/>
      <w:numFmt w:val="bullet"/>
      <w:lvlText w:val="•"/>
      <w:lvlJc w:val="left"/>
      <w:pPr>
        <w:tabs>
          <w:tab w:val="num" w:pos="4320"/>
        </w:tabs>
        <w:ind w:left="4320" w:hanging="360"/>
      </w:pPr>
      <w:rPr>
        <w:rFonts w:ascii="Arial" w:hAnsi="Arial" w:hint="default"/>
      </w:rPr>
    </w:lvl>
    <w:lvl w:ilvl="6" w:tplc="46DA9522" w:tentative="1">
      <w:start w:val="1"/>
      <w:numFmt w:val="bullet"/>
      <w:lvlText w:val="•"/>
      <w:lvlJc w:val="left"/>
      <w:pPr>
        <w:tabs>
          <w:tab w:val="num" w:pos="5040"/>
        </w:tabs>
        <w:ind w:left="5040" w:hanging="360"/>
      </w:pPr>
      <w:rPr>
        <w:rFonts w:ascii="Arial" w:hAnsi="Arial" w:hint="default"/>
      </w:rPr>
    </w:lvl>
    <w:lvl w:ilvl="7" w:tplc="C77A3978" w:tentative="1">
      <w:start w:val="1"/>
      <w:numFmt w:val="bullet"/>
      <w:lvlText w:val="•"/>
      <w:lvlJc w:val="left"/>
      <w:pPr>
        <w:tabs>
          <w:tab w:val="num" w:pos="5760"/>
        </w:tabs>
        <w:ind w:left="5760" w:hanging="360"/>
      </w:pPr>
      <w:rPr>
        <w:rFonts w:ascii="Arial" w:hAnsi="Arial" w:hint="default"/>
      </w:rPr>
    </w:lvl>
    <w:lvl w:ilvl="8" w:tplc="078867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076E4C"/>
    <w:multiLevelType w:val="hybridMultilevel"/>
    <w:tmpl w:val="3B942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8E410E"/>
    <w:multiLevelType w:val="hybridMultilevel"/>
    <w:tmpl w:val="FC308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182951"/>
    <w:multiLevelType w:val="hybridMultilevel"/>
    <w:tmpl w:val="9C20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1786826">
    <w:abstractNumId w:val="3"/>
  </w:num>
  <w:num w:numId="2" w16cid:durableId="10108566">
    <w:abstractNumId w:val="4"/>
  </w:num>
  <w:num w:numId="3" w16cid:durableId="682710468">
    <w:abstractNumId w:val="1"/>
  </w:num>
  <w:num w:numId="4" w16cid:durableId="401104476">
    <w:abstractNumId w:val="0"/>
  </w:num>
  <w:num w:numId="5" w16cid:durableId="338507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3D"/>
    <w:rsid w:val="0001545D"/>
    <w:rsid w:val="00235D43"/>
    <w:rsid w:val="002F7934"/>
    <w:rsid w:val="003B30CE"/>
    <w:rsid w:val="003E1800"/>
    <w:rsid w:val="00487BFE"/>
    <w:rsid w:val="005E2A42"/>
    <w:rsid w:val="006442E9"/>
    <w:rsid w:val="00664B3D"/>
    <w:rsid w:val="006774A3"/>
    <w:rsid w:val="006A1E07"/>
    <w:rsid w:val="006E3494"/>
    <w:rsid w:val="006F203A"/>
    <w:rsid w:val="007B735C"/>
    <w:rsid w:val="007C6050"/>
    <w:rsid w:val="00857C80"/>
    <w:rsid w:val="008B204E"/>
    <w:rsid w:val="00930CB2"/>
    <w:rsid w:val="00A504B4"/>
    <w:rsid w:val="00BA5234"/>
    <w:rsid w:val="00C06F8D"/>
    <w:rsid w:val="00C26EE6"/>
    <w:rsid w:val="00C75944"/>
    <w:rsid w:val="00C75A0F"/>
    <w:rsid w:val="00CC682A"/>
    <w:rsid w:val="00D148E5"/>
    <w:rsid w:val="00D97145"/>
    <w:rsid w:val="00DA24CE"/>
    <w:rsid w:val="00DA3378"/>
    <w:rsid w:val="00DD60CD"/>
    <w:rsid w:val="00F1039E"/>
    <w:rsid w:val="00F44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2518"/>
  <w15:chartTrackingRefBased/>
  <w15:docId w15:val="{E086C823-30A2-47EC-B59D-72AFD97C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664B3D"/>
  </w:style>
  <w:style w:type="paragraph" w:styleId="ListParagraph">
    <w:name w:val="List Paragraph"/>
    <w:basedOn w:val="Normal"/>
    <w:uiPriority w:val="34"/>
    <w:qFormat/>
    <w:rsid w:val="00DA24CE"/>
    <w:pPr>
      <w:ind w:left="720"/>
      <w:contextualSpacing/>
    </w:pPr>
    <w:rPr>
      <w:kern w:val="0"/>
      <w14:ligatures w14:val="none"/>
    </w:rPr>
  </w:style>
  <w:style w:type="table" w:styleId="TableGrid">
    <w:name w:val="Table Grid"/>
    <w:basedOn w:val="TableNormal"/>
    <w:uiPriority w:val="39"/>
    <w:rsid w:val="00DA24C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4CE"/>
  </w:style>
  <w:style w:type="paragraph" w:styleId="Footer">
    <w:name w:val="footer"/>
    <w:basedOn w:val="Normal"/>
    <w:link w:val="FooterChar"/>
    <w:uiPriority w:val="99"/>
    <w:unhideWhenUsed/>
    <w:rsid w:val="00DA2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4CE"/>
  </w:style>
  <w:style w:type="paragraph" w:styleId="NoSpacing">
    <w:name w:val="No Spacing"/>
    <w:uiPriority w:val="1"/>
    <w:qFormat/>
    <w:rsid w:val="00C7594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38619">
      <w:bodyDiv w:val="1"/>
      <w:marLeft w:val="0"/>
      <w:marRight w:val="0"/>
      <w:marTop w:val="0"/>
      <w:marBottom w:val="0"/>
      <w:divBdr>
        <w:top w:val="none" w:sz="0" w:space="0" w:color="auto"/>
        <w:left w:val="none" w:sz="0" w:space="0" w:color="auto"/>
        <w:bottom w:val="none" w:sz="0" w:space="0" w:color="auto"/>
        <w:right w:val="none" w:sz="0" w:space="0" w:color="auto"/>
      </w:divBdr>
      <w:divsChild>
        <w:div w:id="15822517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86EBF4E7FD448B4A581F49A6DF1E5" ma:contentTypeVersion="16" ma:contentTypeDescription="Create a new document." ma:contentTypeScope="" ma:versionID="14dd4b1908888cdc9646165f6eca217f">
  <xsd:schema xmlns:xsd="http://www.w3.org/2001/XMLSchema" xmlns:xs="http://www.w3.org/2001/XMLSchema" xmlns:p="http://schemas.microsoft.com/office/2006/metadata/properties" xmlns:ns2="8bb53d79-3421-4843-8c47-97f626fc71b7" xmlns:ns3="2a2d874c-cdc8-4664-b089-ff8f1f74bb8d" targetNamespace="http://schemas.microsoft.com/office/2006/metadata/properties" ma:root="true" ma:fieldsID="ebd3a598a2e0ecf282425c2eae301ec5" ns2:_="" ns3:_="">
    <xsd:import namespace="8bb53d79-3421-4843-8c47-97f626fc71b7"/>
    <xsd:import namespace="2a2d874c-cdc8-4664-b089-ff8f1f74bb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53d79-3421-4843-8c47-97f626fc7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606f1c-e8f3-4eea-8781-18564de992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2d874c-cdc8-4664-b089-ff8f1f74bb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a5fea-6786-4bf6-b092-5dcf6c2099bf}" ma:internalName="TaxCatchAll" ma:showField="CatchAllData" ma:web="2a2d874c-cdc8-4664-b089-ff8f1f74bb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b53d79-3421-4843-8c47-97f626fc71b7">
      <Terms xmlns="http://schemas.microsoft.com/office/infopath/2007/PartnerControls"/>
    </lcf76f155ced4ddcb4097134ff3c332f>
    <TaxCatchAll xmlns="2a2d874c-cdc8-4664-b089-ff8f1f74bb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26952B-D814-4EE0-A8A0-5B9040A1B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53d79-3421-4843-8c47-97f626fc71b7"/>
    <ds:schemaRef ds:uri="2a2d874c-cdc8-4664-b089-ff8f1f74b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71E7E-72D7-4C84-A786-58B9825409F7}">
  <ds:schemaRefs>
    <ds:schemaRef ds:uri="http://purl.org/dc/dcmitype/"/>
    <ds:schemaRef ds:uri="http://purl.org/dc/terms/"/>
    <ds:schemaRef ds:uri="http://schemas.microsoft.com/office/2006/documentManagement/types"/>
    <ds:schemaRef ds:uri="http://purl.org/dc/elements/1.1/"/>
    <ds:schemaRef ds:uri="8bb53d79-3421-4843-8c47-97f626fc71b7"/>
    <ds:schemaRef ds:uri="2a2d874c-cdc8-4664-b089-ff8f1f74bb8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7EDAC2D-093C-496E-A41B-F149E93DE6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1084</Words>
  <Characters>6182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Murray</dc:creator>
  <cp:keywords/>
  <dc:description/>
  <cp:lastModifiedBy>Beth Reeder</cp:lastModifiedBy>
  <cp:revision>2</cp:revision>
  <dcterms:created xsi:type="dcterms:W3CDTF">2023-07-11T14:56:00Z</dcterms:created>
  <dcterms:modified xsi:type="dcterms:W3CDTF">2023-07-11T14:56:00Z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0x0101004A086EBF4E7FD448B4A581F49A6DF1E5</vt:lpwstr>
  </property>
  <property fmtid="{D5CDD505-2E9C-101B-9397-08002B2CF9AE}" pid="3" name="MediaServiceImageTags">
    <vt:lpwstr/>
  </property>
</Properties>
</file>